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IV 163</w:t>
      </w:r>
    </w:p>
    <w:p>
      <w:r>
        <w:t>Bundesgericht (BGE), 2012-10-25, FR</w:t>
      </w:r>
    </w:p>
    <w:p>
      <w:r>
        <w:rPr>
          <w:b/>
        </w:rPr>
        <w:t xml:space="preserve">Quelle: </w:t>
      </w:r>
      <w:r>
        <w:t>https://mcp.opencaselaw.ch/entscheid/bge_142 IV 163</w:t>
      </w:r>
    </w:p>
    <w:p>
      <w:r>
        <w:t>FR: ATF 142 IV 163</w:t>
      </w:r>
    </w:p>
    <w:p>
      <w:r>
        <w:t>IT: DTF 142 IV 163</w:t>
      </w:r>
    </w:p>
    <w:p>
      <w:pPr>
        <w:pStyle w:val="Heading2"/>
      </w:pPr>
      <w:r>
        <w:t>Regeste</w:t>
      </w:r>
    </w:p>
    <w:p>
      <w:r>
        <w:t>Regeste Art. 429 Abs. 1 lit. a StPO; Entschädigung der beschuldigten Person bei Freispruch; Verteidigungskosten. Das Anwaltshonorar bestimmt sich nach dem Entschädigungstarif des Gerichtsstands. Das Reglement des Bundesstrafgerichts über die Kosten, Gebühren und Entschädigungen in Bundesstrafverfahren sieht einen Stundenansatz von Fr. 200.- bis Fr. 300.- als Anwaltshonorar vor (E. 3.1). Der (Zeit-)Aufwand der Verteidigung in Rechtsmittelverfahren ist getrennt von demjenigen des Vor- und Hauptverfahrens zu entschädigen (Art. 436 StPO) und ist nicht in der Entschädigung gemäss Art. 429 Abs. 1 lit. a StPO enthalten (E. 3.2.2).</w:t>
      </w:r>
    </w:p>
    <w:p>
      <w:pPr>
        <w:pStyle w:val="Heading2"/>
      </w:pPr>
      <w:r>
        <w:t>Erwägungen</w:t>
      </w:r>
    </w:p>
    <w:p>
      <w:r>
        <w:rPr>
          <w:b/>
        </w:rPr>
        <w:t>E. 3</w:t>
      </w:r>
    </w:p>
    <w:p>
      <w:r>
        <w:t>L' art. 429 al. 1 let. a CPP prévoit que, si le prévenu est acquitté totalement ou en partie ou s'il bénéficie d'une ordonnance de classement, il a droit à une indemnité pour les dépenses occasionnées par l'exercice raisonnable de ses droits de procédure.</w:t>
      </w:r>
    </w:p>
    <w:p>
      <w:r>
        <w:rPr>
          <w:b/>
        </w:rPr>
        <w:t>E. 3.1.1</w:t>
      </w:r>
    </w:p>
    <w:p>
      <w:r>
        <w:t>Pour fixer l'indemnité et, plus particulièrement le tarif horaire, la cour fédérale s'est fondée sur le règlement du Tribunal pénal fédéral du 31 août 2010 sur les frais, émoluments, dépens et indemnités de la procédure pénale fédérale (RFPPF; RS 173.713.162). L'art. 12 de ce règlement prévoit un tarif horaire de 200 fr. au minimum et de 300 fr. au maximum. Dans ces limites, les honoraires sont fixés en fonction du temps effectivement consacré à la cause et nécessaire à la défense de la partie représentée. La cour fédérale a expliqué que le dossier de la cause présentait une certaine ampleur et que les mesures d'instruction ordonnées durant la procédure avaient été nombreuses. Cependant, les questions de fait et de droit abordées au cours de la procédure n'avaient pas présenté de difficultés particulières. Pour ces raisons, la cour fédérale a considéré qu'il ne se justifiait pas de s'écarter de sa pratique et a fixé les honoraires de l'avocat à 230 fr. pour les heures de travail et à 200 fr. pour les heures de déplacement (jugement attaqué p. 28). BGE 142 IV 163 S. 167 Le recourant se réfère au tarif horaire du barreau genevois et relève que les notes de frais de son défenseur ont été établies sur cette base. Dès lors, il requiert que le tarif horaire soit fixé à 450 fr. pour l'activité de son défenseur, respectivement à 300 fr. pour celle du collaborateur et à 150 fr. pour celle de la stagiaire. Il conteste que la limitation du tarif horaire figurant à l' art. 12 al. 1 RFPPF soit applicable au cas d'espèce et prétend qu'elle ne vise que le tarif horaire de la défense d'office.</w:t>
      </w:r>
    </w:p>
    <w:p>
      <w:r>
        <w:rPr>
          <w:b/>
        </w:rPr>
        <w:t>E. 3.1.2</w:t>
      </w:r>
    </w:p>
    <w:p>
      <w:r>
        <w:t>En principe, l'Etat doit indemniser la totalité des frais de défense (FF 2006 1313 ad art. 437; arrêt 6B_392/2013 du 4 novembre 2013 consid. 2.3). Ceux-ci doivent toutefois être raisonnables compte tenu de la complexité et de la difficulté de l'affaire (FF 2006 1313; ATF 138 IV 197 consid. 2.3.4 p. 203). L' art. 429 CPP ne donne aucune précision sur le calcul de l'indemnité et, en particulier, sur le taux horaire à prendre en considération. Dans le présent cas, il s'agit de déterminer si le montant de l'indemnité doit se calculer selon le règlement - ou, à défaut de règlement, selon le tarif usuel - du lieu où la procédure se déroule ou si l'avocat peut se référer au tarif de la procédure applicable au lieu où il a son étude. De manière générale, la doctrine est d'avis que l'indemnité visée par l' art. 429 al. 1 let. a CPP doit correspondre au tarif usuel du barreau applicable dans le canton où se déroule la procédure; elle renvoie à la réglementation prévue par les cantons et la Confédération (NIKLAUS OBERHOLZER, Grundzüge des Strafprozessrechts, 3 e éd. 2012, § 31, n. 1740; STEFAN CHRISTEN, Entschädigungsfolgen im kantonalen Beschwerdeverfahren in Strafsachen, RPS 132/2014 p. 194 ss, spéc. p. 204; JO PITTELOUD, Code de procédure pénale suisse [CPP], Commentaire à l'usage des praticiens, 2012, n. 1351; WEHRENBERG/FRANK, in Basler Kommentar, Schweizerisches Strafprozessordnung, 2 e éd. 2014, n° 16 ad art. 429 CPP ). Certains auteurs mentionnent expressément, en ce qui concerne les procédures fédérales, l' art. 12 al. 1 RFPPF (WEHRENBERG/FRANK, ibidem). Seuls CÉDRIC MIZEL et VALENTIN RETORNAZ sont d'avis qu'il faut se référer au tarif pratiqué au lieu où l'avocat a son cabinet. Selon ces auteurs, il ne saurait être question d'imposer à l'avocat le tarif recommandé par l'ordre des avocats du lieu où se trouve le tribunal; en particulier, il ne leur semble pas possible de limiter le taux horaire à 300 fr. comme cela se pratique devant le Tribunal pénal fédéral (MIZEL/RETORNAZ, in Commentaire romand, Code de procédure pénale suisse, 2011, n° 35 ad art. 429 CPP ). BGE 142 IV 163 S. 168 Dans la mesure où la Confédération et les cantons organisent leurs autorités pénales ( art. 14 CPP ), il leur appartient de régler le calcul des frais et indemnités de procédure, dans leur domaine de compétence respectif (cf. à ce sujet JOËLLE CHAPUIS, in Commentaire romand, Code de procédure pénale suisse, 2011, n° 1 ad art. 424 CPP ; MOREILLON/PAREIN-REYMOND, CPP, Code de procédure pénale, 2013, n° 2 ad art. 424 CPP ). C'est ainsi que le CPP prévoit que la Confédération et les cantons règlent le calcul des frais de procédure ( art. 424 al. 1 CPP ) et fixent les émoluments ( art. 424 al. 1 CPP ), ainsi que l'indemnisation du défenseur d'office ( art. 135 al. 1 CPP ). De même pour l'indemnité prévue à l' art. 429 CPP , il convient d'appliquer le règlement - ou, à défaut de règlement, le tarif usuel - du canton du for de la procédure. On ne saurait en effet exiger d'un canton qu'il applique le tarif d'un autre canton, tant en raison de la souveraineté cantonale en la matière que pour des raisons pratiques. Dans les causes jugées par le Tribunal pénal fédéral, il convient d'appliquer le règlement édicté par la cour plénière de celui-ci. C'est à tort que le recourant soutient que les art. 53 al. 2 let. a et 73 de la loi fédérale du 19 mars 2010 sur l'organisation des autorités pénales de la Confédération (LOAP; RS 173.71) ne délèguent pas la compétence à la Cour plénière du Tribunal pénal fédéral pour la fixation des honoraires d'un défenseur privé et que celle-ci aurait enfreint le principe de la séparation des pouvoirs en élaborant les art. 10 et 12 RFPPF . En effet, l' art. 53 al. 2 let. a LOAP habilite la Cour plénière du Tribunal pénal fédéral à réglementer les frais de procédure, dépens et indemnités prévus à l' art. 73 LOAP . Selon l' art. 73 al. 1 LOAP , le Tribunal pénal fédéral fixe, dans un règlement, le mode de calcul des frais de procédure (let. a), le tarif des émoluments (let. b), ainsi que notamment les dépens alloués aux parties et les indemnités allouées aux défenseurs d'office (let. c). Les "dépens alloués aux parties" mentionnés par l' art. 73 LOAP comprennent en particulier le remboursement des dépenses engagées pour un avocat de choix telles qu'envisagées par l' art. 429 al. 1 let. a CPP . Sur cette base, la Cour plénière du Tribunal pénal fédéral était donc autorisée à édicter les art. 10-12 RFPPF . Le grief tiré de la violation du principe de la séparation des pouvoirs doit donc être rejeté. Lorsque le prévenu, déféré devant le Tribunal pénal fédéral, vient d'un canton où les tarifs du barreau sont plus élevés que celui prévu par le RFPPF, cela peut avoir pour conséquence que, s'il est acquitté, il doive supporter une partie de ses frais de défense privée. Si les BGE 142 IV 163 S. 169 frais de défense doivent en principe être pleinement indemnisés, il n'en reste pas moins qu'ils doivent rester dans un rapport raisonnable par rapport à la complexité et à l'importance de l'affaire. L'exercice raisonnable des droits de procédure implique aussi d'appliquer le tarif horaire prévu au lieu où se déroule la procédure. A cet égard, il faut également rappeler que le prévenu a l'obligation de diminuer le dommage, de sorte qu'il ne peut pas prétendre à un tarif convenu avec son conseil supérieur à celui de la Confédération. L'Etat ne sera ainsi pas lié par une convention d'honoraires passée entre le prévenu et son avocat (arrêt 6B_30/2010 du 1 er juin 2010 consid. 5.4.2). Contrairement à ce que soutient le recourant, la cour fédérale ne viole pas le principe d'égalité de traitement en appliquant un tarif unique pour toute la Suisse, sans distinguer entre les cantons. Au contraire, le principe d'égalité commande d'accorder à tous les prévenus plaidant devant le même tribunal une indemnité fondée sur le même tarif horaire.</w:t>
      </w:r>
    </w:p>
    <w:p>
      <w:r>
        <w:rPr>
          <w:b/>
        </w:rPr>
        <w:t>E. 3.1.3</w:t>
      </w:r>
    </w:p>
    <w:p>
      <w:r>
        <w:t>En conclusion, la cour fédérale n'a pas violé le droit fédéral en appliquant le RFPPF et en fixant, compte tenu des difficultés de l'affaire, le tarif horaire à 230 fr. pour les heures de travail et à 200 fr. pour les heures de déplacement. Le recours doit donc être rejeté sur ce point.</w:t>
      </w:r>
    </w:p>
    <w:p>
      <w:r>
        <w:rPr>
          <w:b/>
        </w:rPr>
        <w:t>E. 3.2</w:t>
      </w:r>
    </w:p>
    <w:p>
      <w:r>
        <w:t>Le recourant a déposé quatre notes d'honoraires. La cour fédérale a opéré différents retranchements, que le recourant conteste.</w:t>
      </w:r>
    </w:p>
    <w:p>
      <w:r>
        <w:rPr>
          <w:b/>
        </w:rPr>
        <w:t>E. 3.2.1</w:t>
      </w:r>
    </w:p>
    <w:p>
      <w:r>
        <w:t>Savoir si le recours à un avocat procède d'un exercice raisonnable des droits de procédure et si, par conséquent, une indemnité pour les frais de défense selon l' art. 429 al. 1 let. a CPP peut être allouée au prévenu, est une question de droit fédéral que le Tribunal fédéral revoit librement. Il s'impose toutefois une certaine retenue lors de l'examen de l'évaluation faite par l'autorité précédente, particulièrement de la détermination, dans le cas concret, des dépenses qui apparaissent raisonnables ( ATF 138 IV 197 consid. 2.3.6 p. 204).</w:t>
      </w:r>
    </w:p>
    <w:p>
      <w:r>
        <w:rPr>
          <w:b/>
        </w:rPr>
        <w:t>E. 3.2.2</w:t>
      </w:r>
    </w:p>
    <w:p>
      <w:r>
        <w:t>S'agissant de la première note d'honoraires, le recourant conteste le retranchement de 38,1 heures d'activité d'avocat exercée dans le cadre de procédures de recours devant le Tribunal pénal fédéral ou devant le Tribunal fédéral. L' art. 436 CPP règle les prétentions en indemnités et en réparation pour tort moral pour la procédure de recours. Elle vise la procédure de recours en général, à savoir les procédures d'appel et de recours BGE 142 IV 163 S. 170 (au sens des art. 393 ss CPP ) (CHRISTEN, op. cit., p. 194; WEHRENBERG/FRANK, op. cit., n° 3 ad art. 436 CPP ). L'alinéa 1 de l' art. 436 CPP renvoie aux art. 429-434 CPP . Ce renvoi ne signifie pas que les indemnités doivent se déterminer par rapport à l'issue de la procédure de première instance. Au contraire, elles doivent se fixer séparément pour chaque phase de la procédure, indépendamment de la procédure de première instance. Ce qui est déterminant, c'est le résultat de la procédure de recours (CHRISTEN, op. cit., p. 197; NIKLAUS SCHMID, Schweizerische Strafprozessordnung [StPO], Praxiskommentar, 2 e éd. 2013, n° 4 ad art. 429 CPP et n° 1 ad art. 436 CPP ). C'est donc à juste titre que la cour fédérale a considéré que les indemnités en procédure de recours étaient établies de manière indépendante de la procédure au fond et que, partant, l'activité de l'avocat pour les procédures de recours ne pouvait plus être couverte par le biais d'une demande d'indemnisation au sens de l' art. 429 CPP . Le grief soulevé doit donc être rejeté.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